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Ozbiljno ugrožena bezbednost novinarima i novinarkama KRIK-a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Međusektorska grupa za slobodu izražavanja i medija i RG za Poglavlje 23 Nacionalnog konventa o Evropskoj uniji (NKEU) najoštrije osuđuju ugrožavanje bezbednosti novinara i novinarki istraživačke mreže KRIK skandaloznim tabloidnim izveštavanjem medija bliskih vlasti i pozivaju nadležne institucije da na ove napade reaguju u što kraćem roku.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Vlada Srbije i nadležno Ministarstvo moraju da se oglase i preduzmu sve mere kako bi KRIK nastavio sa radom bez pritisaka koji su nastali kao posledica očigledno koordinisane kampanje tabloidnog linča.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Ovaj napad, koji predstavlja pokušaj da se pažnja javnosti skrene sa dokumentovane povezanosti vladajućih struktura sa kriminalnim grupama, na koju je upravo KRIK godinama ukazivao svojim istraživačkim radom, dolazi u trenutku u kome je atmosfera u društvu posredstvom medija dodatno uzdrmana neetičnim izveštavanjem o organizovanom kriminalu, koje je podrazumevalo i prikazivanje uznemirujućih fotografija u udarnom terminu na čak trinaest televizija, i stoga predstavlja transparentno crtanje mete na čelu novinara i novinarki ovog portala.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Podsećamo da se Republika Srbija na svom evropskom putu obavezala da poštuje principe koji podrazumevaju obavezu države da pruži zaštitu novinarima i svima onima koji izveštavaju u javnom interesu, kao i da onemogući korišćenje medija u svrhu obračunavanja sa političkim protivnicima, pogotovo curenjem informacija iz istraga u medije.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Ovim se još jednom pokazalo da u Srbiji ne samo da ne postoje uslovi za ostvarivanje osnovnih ljudskih prava, poput prava na slobodu izražavanja već da je bezbednost novinara i novinarki ozbiljno ugrožena. Iz tog razloga, potpisnice ovog saopštenja očekuju da se ovim povodom oglasi i novoformirana Grupa za bezbednost novinara.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Državni organi su dužni da javnim i jasnim izjašnjavanjem o neosnovanim napadima na KRIK, obezbede istraživačkim novinarima adekvatnu zaštitu, podrškom i stvaranjem atmosfere u kojoj će kritičko novinarstvo biti jedno od najvažnijih stubova pravne i demokratske države.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Međusektorska grupa za slobodu izražavanja i medija NKEU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Radna grupa za Poglavlje 23 NKEU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